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_rels/document.xml.rels" ContentType="application/vnd.openxmlformats-package.relationships+xml"/>
  <Override PartName="/word/header2.xml" ContentType="application/vnd.openxmlformats-officedocument.wordprocessingml.header+xml"/>
  <Override PartName="/customXml/_rels/item1.xml.rels" ContentType="application/vnd.openxmlformats-package.relationships+xml"/>
  <Override PartName="/customXml/itemProps1.xml" ContentType="application/vnd.openxmlformats-officedocument.customXmlProperties+xml"/>
  <Override PartName="/customXml/item1.xml" ContentType="application/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before="360" w:after="120"/>
        <w:ind w:left="425" w:hanging="0"/>
        <w:jc w:val="center"/>
        <w:rPr>
          <w:rFonts w:ascii="Times New Roman" w:hAnsi="Times New Roman" w:eastAsia="Calibri"/>
          <w:b/>
          <w:caps/>
          <w:szCs w:val="24"/>
        </w:rPr>
      </w:pPr>
      <w:r>
        <w:rPr>
          <w:rFonts w:eastAsia="Calibri" w:ascii="Times New Roman" w:hAnsi="Times New Roman"/>
          <w:b/>
          <w:caps/>
          <w:szCs w:val="24"/>
        </w:rPr>
        <w:t>ОБОСНОВАНИЕ начальной (максимальной) цены договора</w:t>
      </w:r>
      <w:r>
        <w:rPr>
          <w:rFonts w:eastAsia="Calibri" w:ascii="Times New Roman" w:hAnsi="Times New Roman"/>
          <w:sz w:val="26"/>
          <w:szCs w:val="26"/>
        </w:rPr>
        <w:t xml:space="preserve"> / </w:t>
      </w:r>
      <w:r>
        <w:rPr>
          <w:rFonts w:eastAsia="Calibri" w:ascii="Times New Roman" w:hAnsi="Times New Roman"/>
          <w:b/>
          <w:caps/>
          <w:szCs w:val="24"/>
        </w:rPr>
        <w:t>цены единицы товара, работы, услуги</w:t>
      </w:r>
    </w:p>
    <w:p>
      <w:pPr>
        <w:pStyle w:val="Normal"/>
        <w:numPr>
          <w:ilvl w:val="0"/>
          <w:numId w:val="2"/>
        </w:numPr>
        <w:spacing w:lineRule="exact" w:line="360" w:before="120" w:after="120"/>
        <w:ind w:left="714" w:hanging="357"/>
        <w:jc w:val="both"/>
        <w:rPr>
          <w:rFonts w:ascii="Times New Roman" w:hAnsi="Times New Roman" w:eastAsia="Calibri"/>
          <w:b/>
          <w:sz w:val="26"/>
          <w:szCs w:val="26"/>
        </w:rPr>
      </w:pPr>
      <w:r>
        <w:rPr>
          <w:rFonts w:eastAsia="Calibri" w:ascii="Times New Roman" w:hAnsi="Times New Roman"/>
          <w:b/>
          <w:sz w:val="26"/>
          <w:szCs w:val="26"/>
        </w:rPr>
        <w:t>Общая информация</w:t>
      </w:r>
    </w:p>
    <w:tbl>
      <w:tblPr>
        <w:tblStyle w:val="1"/>
        <w:tblW w:w="9952" w:type="dxa"/>
        <w:jc w:val="left"/>
        <w:tblInd w:w="-34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701"/>
        <w:gridCol w:w="3685"/>
        <w:gridCol w:w="5566"/>
      </w:tblGrid>
      <w:tr>
        <w:trPr/>
        <w:tc>
          <w:tcPr>
            <w:tcW w:w="701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exact" w:line="360" w:before="120" w:after="0"/>
              <w:contextualSpacing/>
              <w:jc w:val="both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bidi="ar-SA"/>
              </w:rPr>
              <w:t xml:space="preserve">№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bidi="ar-SA"/>
              </w:rPr>
              <w:t>п/п</w:t>
            </w:r>
          </w:p>
        </w:tc>
        <w:tc>
          <w:tcPr>
            <w:tcW w:w="3685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exact" w:line="360" w:before="120" w:after="0"/>
              <w:contextualSpacing/>
              <w:jc w:val="both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bidi="ar-SA"/>
              </w:rPr>
              <w:t>Наименование</w:t>
            </w:r>
          </w:p>
        </w:tc>
        <w:tc>
          <w:tcPr>
            <w:tcW w:w="5566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exact" w:line="360" w:before="120" w:after="0"/>
              <w:contextualSpacing/>
              <w:jc w:val="both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bidi="ar-SA"/>
              </w:rPr>
              <w:t>Информация по лоту</w:t>
            </w:r>
          </w:p>
        </w:tc>
      </w:tr>
      <w:tr>
        <w:trPr/>
        <w:tc>
          <w:tcPr>
            <w:tcW w:w="701" w:type="dxa"/>
            <w:tcBorders/>
            <w:shd w:color="auto" w:fill="auto" w:val="clear"/>
          </w:tcPr>
          <w:p>
            <w:pPr>
              <w:pStyle w:val="Normal"/>
              <w:widowControl w:val="false"/>
              <w:numPr>
                <w:ilvl w:val="1"/>
                <w:numId w:val="2"/>
              </w:numPr>
              <w:suppressAutoHyphens w:val="true"/>
              <w:spacing w:lineRule="exact" w:line="360" w:before="120" w:after="120"/>
              <w:ind w:left="0" w:hanging="0"/>
              <w:contextualSpacing/>
              <w:jc w:val="both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eastAsia="Calibri" w:ascii="Times New Roman" w:hAnsi="Times New Roman"/>
                <w:sz w:val="22"/>
                <w:szCs w:val="22"/>
              </w:rPr>
            </w:r>
          </w:p>
        </w:tc>
        <w:tc>
          <w:tcPr>
            <w:tcW w:w="3685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exact" w:line="360" w:before="120" w:after="0"/>
              <w:contextualSpacing/>
              <w:jc w:val="both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bidi="ar-SA"/>
              </w:rPr>
              <w:t>Наименование лота</w:t>
            </w:r>
          </w:p>
        </w:tc>
        <w:tc>
          <w:tcPr>
            <w:tcW w:w="5566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120" w:after="0"/>
              <w:contextualSpacing/>
              <w:jc w:val="both"/>
              <w:rPr>
                <w:i w:val="false"/>
                <w:i w:val="false"/>
                <w:iCs w:val="false"/>
              </w:rPr>
            </w:pPr>
            <w:r>
              <w:rPr>
                <w:rFonts w:eastAsia="Calibri" w:cs="Times New Roman" w:ascii="Times New Roman" w:hAnsi="Times New Roman"/>
                <w:b w:val="false"/>
                <w:i w:val="false"/>
                <w:iCs w:val="false"/>
                <w:caps w:val="false"/>
                <w:smallCaps w:val="false"/>
                <w:color w:val="2C2D2E"/>
                <w:spacing w:val="0"/>
                <w:kern w:val="0"/>
                <w:sz w:val="22"/>
                <w:szCs w:val="22"/>
                <w:lang w:bidi="ar-SA"/>
              </w:rPr>
              <w:t>ОКПД2 14.12. Поставка средств индивидуальной защиты от общих производственных загрязнений в корпоративном стиле Группы РусГидро для нужд филиала "РусГидро"-"Камская ГЭС"</w:t>
            </w:r>
          </w:p>
        </w:tc>
      </w:tr>
      <w:tr>
        <w:trPr/>
        <w:tc>
          <w:tcPr>
            <w:tcW w:w="701" w:type="dxa"/>
            <w:tcBorders/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exact" w:line="360" w:before="120" w:after="120"/>
              <w:ind w:left="0" w:hanging="0"/>
              <w:contextualSpacing/>
              <w:jc w:val="both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eastAsia="Calibri" w:ascii="Times New Roman" w:hAnsi="Times New Roman"/>
                <w:sz w:val="22"/>
                <w:szCs w:val="22"/>
              </w:rPr>
              <w:t>1.2</w:t>
            </w:r>
          </w:p>
        </w:tc>
        <w:tc>
          <w:tcPr>
            <w:tcW w:w="3685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exact" w:line="360" w:before="120" w:after="0"/>
              <w:contextualSpacing/>
              <w:jc w:val="both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bidi="ar-SA"/>
              </w:rPr>
              <w:t>Номер лота</w:t>
            </w:r>
          </w:p>
        </w:tc>
        <w:tc>
          <w:tcPr>
            <w:tcW w:w="5566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120" w:after="0"/>
              <w:contextualSpacing/>
              <w:jc w:val="both"/>
              <w:rPr>
                <w:i w:val="false"/>
                <w:i w:val="false"/>
                <w:iCs w:val="false"/>
              </w:rPr>
            </w:pPr>
            <w:r>
              <w:rPr>
                <w:rFonts w:eastAsia="Calibri" w:cs="Times New Roman" w:ascii="Times New Roman" w:hAnsi="Times New Roman"/>
                <w:b w:val="false"/>
                <w:i w:val="false"/>
                <w:iCs w:val="false"/>
                <w:caps w:val="false"/>
                <w:smallCaps w:val="false"/>
                <w:color w:val="2C2D2E"/>
                <w:spacing w:val="0"/>
                <w:kern w:val="0"/>
                <w:sz w:val="22"/>
                <w:szCs w:val="22"/>
                <w:lang w:bidi="ar-SA"/>
              </w:rPr>
              <w:t>11-ЭКСП-БПД-2026-КамГЭС</w:t>
            </w:r>
          </w:p>
        </w:tc>
      </w:tr>
      <w:tr>
        <w:trPr>
          <w:trHeight w:val="653" w:hRule="atLeast"/>
        </w:trPr>
        <w:tc>
          <w:tcPr>
            <w:tcW w:w="701" w:type="dxa"/>
            <w:tcBorders/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exact" w:line="360" w:before="120" w:after="120"/>
              <w:ind w:left="0" w:hanging="0"/>
              <w:contextualSpacing/>
              <w:jc w:val="both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eastAsia="Calibri" w:ascii="Times New Roman" w:hAnsi="Times New Roman"/>
                <w:sz w:val="22"/>
                <w:szCs w:val="22"/>
              </w:rPr>
              <w:t>1.3</w:t>
            </w:r>
          </w:p>
        </w:tc>
        <w:tc>
          <w:tcPr>
            <w:tcW w:w="3685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exact" w:line="360" w:before="120" w:after="0"/>
              <w:contextualSpacing/>
              <w:jc w:val="both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bidi="ar-SA"/>
              </w:rPr>
              <w:t>НМЦ лота</w:t>
            </w:r>
          </w:p>
        </w:tc>
        <w:tc>
          <w:tcPr>
            <w:tcW w:w="5566" w:type="dxa"/>
            <w:tcBorders/>
            <w:shd w:color="auto" w:fill="FFFFFF" w:themeFill="background1" w:val="clear"/>
          </w:tcPr>
          <w:p>
            <w:pPr>
              <w:pStyle w:val="Normal"/>
              <w:widowControl w:val="false"/>
              <w:suppressAutoHyphens w:val="true"/>
              <w:spacing w:lineRule="auto" w:line="240" w:before="120" w:after="0"/>
              <w:contextualSpacing/>
              <w:jc w:val="both"/>
              <w:rPr>
                <w:i w:val="false"/>
                <w:i w:val="false"/>
                <w:iCs w:val="false"/>
              </w:rPr>
            </w:pPr>
            <w:r>
              <w:rPr>
                <w:rFonts w:eastAsia="Calibri" w:cs="Times New Roman" w:ascii="Times New Roman" w:hAnsi="Times New Roman"/>
                <w:i w:val="false"/>
                <w:iCs w:val="false"/>
                <w:kern w:val="0"/>
                <w:sz w:val="22"/>
                <w:szCs w:val="22"/>
                <w:lang w:val="ru-RU" w:eastAsia="en-US" w:bidi="ar-SA"/>
              </w:rPr>
              <w:t>9</w:t>
            </w:r>
            <w:r>
              <w:rPr>
                <w:rFonts w:eastAsia="Calibri" w:cs="Times New Roman" w:ascii="Times New Roman" w:hAnsi="Times New Roman"/>
                <w:i w:val="false"/>
                <w:iCs w:val="false"/>
                <w:kern w:val="0"/>
                <w:sz w:val="22"/>
                <w:szCs w:val="22"/>
                <w:lang w:val="ru-RU" w:eastAsia="en-US" w:bidi="ar-SA"/>
              </w:rPr>
              <w:t>53 326</w:t>
            </w:r>
            <w:r>
              <w:rPr>
                <w:rFonts w:eastAsia="Calibri" w:cs="Times New Roman" w:ascii="Times New Roman" w:hAnsi="Times New Roman"/>
                <w:i w:val="false"/>
                <w:iCs w:val="false"/>
                <w:kern w:val="0"/>
                <w:sz w:val="22"/>
                <w:szCs w:val="22"/>
                <w:lang w:val="ru-RU" w:eastAsia="en-US" w:bidi="ar-SA"/>
              </w:rPr>
              <w:t>,</w:t>
            </w:r>
            <w:r>
              <w:rPr>
                <w:rFonts w:eastAsia="Calibri" w:cs="Times New Roman" w:ascii="Times New Roman" w:hAnsi="Times New Roman"/>
                <w:i w:val="false"/>
                <w:iCs w:val="false"/>
                <w:kern w:val="0"/>
                <w:sz w:val="22"/>
                <w:szCs w:val="22"/>
                <w:lang w:val="ru-RU" w:eastAsia="en-US" w:bidi="ar-SA"/>
              </w:rPr>
              <w:t>29</w:t>
            </w:r>
            <w:r>
              <w:rPr>
                <w:rFonts w:eastAsia="Calibri" w:cs="Times New Roman" w:ascii="Times New Roman" w:hAnsi="Times New Roman"/>
                <w:i w:val="false"/>
                <w:iCs w:val="false"/>
                <w:kern w:val="0"/>
                <w:sz w:val="22"/>
                <w:szCs w:val="22"/>
                <w:lang w:bidi="ar-SA"/>
              </w:rPr>
              <w:t xml:space="preserve">  руб. </w:t>
            </w:r>
            <w:r>
              <w:rPr>
                <w:rFonts w:eastAsia="Calibri" w:cs="Times New Roman" w:ascii="Times New Roman" w:hAnsi="Times New Roman"/>
                <w:i w:val="false"/>
                <w:iCs w:val="false"/>
                <w:kern w:val="0"/>
                <w:sz w:val="22"/>
                <w:szCs w:val="22"/>
                <w:lang w:val="en-US" w:bidi="ar-SA"/>
              </w:rPr>
              <w:t>без учета НДС</w:t>
            </w:r>
          </w:p>
        </w:tc>
      </w:tr>
    </w:tbl>
    <w:p>
      <w:pPr>
        <w:pStyle w:val="Normal"/>
        <w:numPr>
          <w:ilvl w:val="0"/>
          <w:numId w:val="2"/>
        </w:numPr>
        <w:spacing w:lineRule="exact" w:line="360" w:before="120" w:after="120"/>
        <w:ind w:left="714" w:hanging="357"/>
        <w:jc w:val="both"/>
        <w:rPr>
          <w:rFonts w:ascii="Times New Roman" w:hAnsi="Times New Roman" w:eastAsia="Calibri"/>
          <w:b/>
          <w:sz w:val="26"/>
          <w:szCs w:val="26"/>
        </w:rPr>
      </w:pPr>
      <w:r>
        <w:rPr>
          <w:rFonts w:eastAsia="Calibri" w:ascii="Times New Roman" w:hAnsi="Times New Roman"/>
          <w:b/>
          <w:sz w:val="26"/>
          <w:szCs w:val="26"/>
        </w:rPr>
        <w:t>Использованный метод (методы) расчета НМЦ / цены единицы товара, работы, услуги:</w:t>
      </w:r>
    </w:p>
    <w:p>
      <w:pPr>
        <w:pStyle w:val="Normal"/>
        <w:spacing w:before="0" w:after="120"/>
        <w:jc w:val="both"/>
        <w:rPr>
          <w:rFonts w:ascii="Times New Roman" w:hAnsi="Times New Roman" w:eastAsia="Calibri"/>
          <w:sz w:val="26"/>
          <w:szCs w:val="26"/>
        </w:rPr>
      </w:pPr>
      <w:r>
        <w:rPr>
          <w:rFonts w:eastAsia="Calibri" w:ascii="Times New Roman" w:hAnsi="Times New Roman"/>
          <w:sz w:val="26"/>
          <w:szCs w:val="26"/>
        </w:rPr>
        <w:t>Метод анализа технико-коммерческих предложений</w:t>
      </w:r>
    </w:p>
    <w:p>
      <w:pPr>
        <w:pStyle w:val="Normal"/>
        <w:spacing w:before="0" w:after="120"/>
        <w:jc w:val="both"/>
        <w:rPr>
          <w:rFonts w:ascii="Times New Roman" w:hAnsi="Times New Roman" w:eastAsia="Calibri"/>
          <w:sz w:val="26"/>
          <w:szCs w:val="26"/>
        </w:rPr>
      </w:pPr>
      <w:r>
        <w:rPr>
          <w:rFonts w:eastAsia="Calibri" w:ascii="Times New Roman" w:hAnsi="Times New Roman"/>
          <w:sz w:val="26"/>
          <w:szCs w:val="26"/>
        </w:rPr>
        <w:t>Обоснование расчета НМЦ:</w:t>
      </w:r>
    </w:p>
    <w:tbl>
      <w:tblPr>
        <w:tblW w:w="10200" w:type="dxa"/>
        <w:jc w:val="left"/>
        <w:tblInd w:w="-431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2866"/>
        <w:gridCol w:w="1600"/>
        <w:gridCol w:w="1879"/>
        <w:gridCol w:w="1859"/>
        <w:gridCol w:w="1996"/>
      </w:tblGrid>
      <w:tr>
        <w:trPr>
          <w:trHeight w:val="70" w:hRule="atLeast"/>
        </w:trPr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E7E6E6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pPr>
            <w:r>
              <w:rPr>
                <w:rFonts w:eastAsia="Times New Roman" w:ascii="Times New Roman" w:hAnsi="Times New Roman"/>
                <w:b/>
                <w:bCs/>
                <w:color w:val="000000"/>
                <w:sz w:val="20"/>
                <w:lang w:eastAsia="ru-RU"/>
              </w:rPr>
              <w:t>Наименование товара/ работы/ услуги в составе лота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E7E6E6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pPr>
            <w:r>
              <w:rPr>
                <w:rFonts w:eastAsia="Times New Roman" w:ascii="Times New Roman" w:hAnsi="Times New Roman"/>
                <w:b/>
                <w:bCs/>
                <w:color w:val="000000"/>
                <w:sz w:val="20"/>
                <w:lang w:eastAsia="ru-RU"/>
              </w:rPr>
              <w:t>Наименование источника ценовой информации (ИЦИ)</w:t>
            </w:r>
          </w:p>
        </w:tc>
        <w:tc>
          <w:tcPr>
            <w:tcW w:w="1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E7E6E6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pPr>
            <w:r>
              <w:rPr>
                <w:rFonts w:eastAsia="Times New Roman" w:ascii="Times New Roman" w:hAnsi="Times New Roman"/>
                <w:b/>
                <w:bCs/>
                <w:color w:val="000000"/>
                <w:sz w:val="20"/>
                <w:lang w:eastAsia="ru-RU"/>
              </w:rPr>
              <w:t>Цена</w:t>
            </w:r>
            <w:r>
              <w:rPr>
                <w:rStyle w:val="FootnoteReference"/>
                <w:rFonts w:eastAsia="Times New Roman" w:ascii="Times New Roman" w:hAnsi="Times New Roman"/>
                <w:b/>
                <w:bCs/>
                <w:color w:val="000000"/>
                <w:sz w:val="20"/>
                <w:lang w:eastAsia="ru-RU"/>
              </w:rPr>
              <w:footnoteReference w:id="2"/>
            </w:r>
            <w:r>
              <w:rPr>
                <w:rFonts w:eastAsia="Times New Roman" w:ascii="Times New Roman" w:hAnsi="Times New Roman"/>
                <w:b/>
                <w:bCs/>
                <w:color w:val="000000"/>
                <w:sz w:val="20"/>
                <w:lang w:eastAsia="ru-RU"/>
              </w:rPr>
              <w:t xml:space="preserve"> с учетом полученной информации из соответствующего ИЦИ, в руб. без НДС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E7E6E6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pPr>
            <w:r>
              <w:rPr>
                <w:rFonts w:eastAsia="Times New Roman" w:ascii="Times New Roman" w:hAnsi="Times New Roman"/>
                <w:b/>
                <w:bCs/>
                <w:color w:val="000000"/>
                <w:sz w:val="20"/>
                <w:lang w:eastAsia="ru-RU"/>
              </w:rPr>
              <w:t>Цена итоговая, в руб. без НДС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E7E6E6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pPr>
            <w:r>
              <w:rPr>
                <w:rFonts w:eastAsia="Times New Roman" w:ascii="Times New Roman" w:hAnsi="Times New Roman"/>
                <w:b/>
                <w:bCs/>
                <w:color w:val="000000"/>
                <w:sz w:val="20"/>
                <w:lang w:eastAsia="ru-RU"/>
              </w:rPr>
              <w:t>Комментарии</w:t>
            </w:r>
          </w:p>
        </w:tc>
      </w:tr>
    </w:tbl>
    <w:p>
      <w:pPr>
        <w:pStyle w:val="Normal"/>
        <w:rPr/>
      </w:pPr>
      <w:r>
        <w:rPr/>
      </w:r>
    </w:p>
    <w:tbl>
      <w:tblPr>
        <w:tblW w:w="10200" w:type="dxa"/>
        <w:jc w:val="left"/>
        <w:tblInd w:w="-431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2866"/>
        <w:gridCol w:w="1600"/>
        <w:gridCol w:w="1879"/>
        <w:gridCol w:w="1815"/>
        <w:gridCol w:w="2040"/>
      </w:tblGrid>
      <w:tr>
        <w:trPr>
          <w:trHeight w:val="861" w:hRule="atLeast"/>
        </w:trPr>
        <w:tc>
          <w:tcPr>
            <w:tcW w:w="28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exact" w:line="360" w:before="120" w:after="0"/>
              <w:contextualSpacing/>
              <w:rPr>
                <w:rFonts w:ascii="Times New Roman" w:hAnsi="Times New Roman" w:eastAsia="Calibri"/>
                <w:i/>
                <w:i/>
                <w:sz w:val="22"/>
                <w:szCs w:val="22"/>
              </w:rPr>
            </w:pPr>
            <w:r>
              <w:rPr>
                <w:rFonts w:eastAsia="Calibri" w:ascii="Times New Roman" w:hAnsi="Times New Roman"/>
                <w:i/>
                <w:sz w:val="22"/>
                <w:szCs w:val="22"/>
              </w:rPr>
              <w:t>ОКПД2-14.12 Поставка средств индивидуальной защиты от общих производственных загрязнений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exact" w:line="360" w:before="120" w:after="0"/>
              <w:contextualSpacing/>
              <w:rPr>
                <w:rFonts w:ascii="Times New Roman" w:hAnsi="Times New Roman" w:eastAsia="Calibri"/>
                <w:i/>
                <w:i/>
                <w:sz w:val="22"/>
                <w:szCs w:val="22"/>
              </w:rPr>
            </w:pPr>
            <w:r>
              <w:rPr>
                <w:rFonts w:eastAsia="Calibri" w:ascii="Times New Roman" w:hAnsi="Times New Roman"/>
                <w:i/>
                <w:sz w:val="22"/>
                <w:szCs w:val="22"/>
              </w:rPr>
              <w:t>ТКП №1</w:t>
            </w:r>
          </w:p>
        </w:tc>
        <w:tc>
          <w:tcPr>
            <w:tcW w:w="1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 w:eastAsia="Calibri"/>
                <w:i/>
                <w:i/>
                <w:sz w:val="22"/>
                <w:szCs w:val="22"/>
                <w:lang w:val="en-US"/>
              </w:rPr>
            </w:pPr>
            <w:r>
              <w:rPr>
                <w:rFonts w:eastAsia="Calibri" w:ascii="Times New Roman" w:hAnsi="Times New Roman"/>
                <w:i/>
                <w:sz w:val="22"/>
                <w:szCs w:val="22"/>
                <w:lang w:val="en-US"/>
              </w:rPr>
            </w:r>
          </w:p>
          <w:p>
            <w:pPr>
              <w:pStyle w:val="Normal"/>
              <w:widowControl w:val="false"/>
              <w:spacing w:before="60" w:after="60"/>
              <w:rPr>
                <w:rFonts w:ascii="Times New Roman" w:hAnsi="Times New Roman" w:eastAsia="Calibri"/>
                <w:i/>
                <w:i/>
                <w:sz w:val="22"/>
                <w:szCs w:val="22"/>
                <w:lang w:val="en-US"/>
              </w:rPr>
            </w:pPr>
            <w:r>
              <w:rPr>
                <w:rFonts w:eastAsia="Calibri" w:ascii="Times New Roman" w:hAnsi="Times New Roman"/>
                <w:i/>
                <w:sz w:val="22"/>
                <w:szCs w:val="22"/>
                <w:lang w:val="en-US"/>
              </w:rPr>
              <w:t>967 993, 17</w:t>
            </w:r>
          </w:p>
        </w:tc>
        <w:tc>
          <w:tcPr>
            <w:tcW w:w="18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bidi w:val="0"/>
              <w:spacing w:before="60" w:after="60"/>
              <w:rPr>
                <w:rFonts w:ascii="Times New Roman" w:hAnsi="Times New Roman"/>
                <w:color w:val="000000"/>
                <w:sz w:val="22"/>
                <w:szCs w:val="22"/>
                <w:highlight w:val="none"/>
                <w:shd w:fill="auto" w:val="clear"/>
              </w:rPr>
            </w:pPr>
            <w:r>
              <w:rPr>
                <w:rFonts w:eastAsia="Calibri" w:cs="Times New Roman" w:ascii="Times New Roman" w:hAnsi="Times New Roman"/>
                <w:b w:val="false"/>
                <w:bCs w:val="false"/>
                <w:color w:val="000000"/>
                <w:sz w:val="22"/>
                <w:szCs w:val="22"/>
                <w:shd w:fill="auto" w:val="clear"/>
                <w:lang w:val="ru-RU" w:eastAsia="en-US" w:bidi="ar-SA"/>
              </w:rPr>
              <w:t xml:space="preserve">Среднее арифметическое значение </w:t>
            </w:r>
            <w:r>
              <w:rPr>
                <w:rFonts w:eastAsia="Calibri" w:ascii="Times New Roman" w:hAnsi="Times New Roman"/>
                <w:color w:val="000000"/>
                <w:sz w:val="22"/>
                <w:szCs w:val="22"/>
                <w:shd w:fill="auto" w:val="clear"/>
              </w:rPr>
              <w:t>полученное ценовой информации</w:t>
            </w:r>
            <w:r>
              <w:rPr>
                <w:rFonts w:eastAsia="Calibri" w:cs="Times New Roman" w:ascii="Times New Roman" w:hAnsi="Times New Roman"/>
                <w:color w:val="000000"/>
                <w:sz w:val="22"/>
                <w:szCs w:val="22"/>
                <w:shd w:fill="auto" w:val="clear"/>
                <w:lang w:val="ru-RU" w:eastAsia="en-US" w:bidi="ar-SA"/>
              </w:rPr>
              <w:t>:</w:t>
            </w:r>
            <w:r>
              <w:rPr>
                <w:rFonts w:eastAsia="Calibri" w:cs="Times New Roman" w:ascii="Times New Roman" w:hAnsi="Times New Roman"/>
                <w:i/>
                <w:color w:val="000000"/>
                <w:sz w:val="22"/>
                <w:szCs w:val="22"/>
                <w:shd w:fill="auto" w:val="clear"/>
                <w:lang w:val="ru-RU" w:eastAsia="en-US" w:bidi="ar-SA"/>
              </w:rPr>
              <w:t xml:space="preserve"> </w:t>
            </w:r>
            <w:bookmarkStart w:id="0" w:name="_GoBack"/>
            <w:bookmarkEnd w:id="0"/>
            <w:r>
              <w:rPr>
                <w:rFonts w:eastAsia="Calibri" w:cs="Times New Roman" w:ascii="Times New Roman" w:hAnsi="Times New Roman"/>
                <w:i w:val="false"/>
                <w:iCs w:val="false"/>
                <w:color w:val="000000"/>
                <w:sz w:val="22"/>
                <w:szCs w:val="22"/>
                <w:shd w:fill="auto" w:val="clear"/>
                <w:lang w:val="ru-RU" w:eastAsia="en-US" w:bidi="ar-SA"/>
              </w:rPr>
              <w:t>953 326, 29</w:t>
            </w:r>
          </w:p>
        </w:tc>
        <w:tc>
          <w:tcPr>
            <w:tcW w:w="2040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 w:eastAsia="Courier New"/>
                <w:i/>
                <w:i/>
                <w:sz w:val="20"/>
              </w:rPr>
            </w:pPr>
            <w:r>
              <w:rPr/>
            </w:r>
          </w:p>
        </w:tc>
      </w:tr>
      <w:tr>
        <w:trPr>
          <w:trHeight w:val="70" w:hRule="atLeast"/>
        </w:trPr>
        <w:tc>
          <w:tcPr>
            <w:tcW w:w="286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exact" w:line="360" w:before="120" w:after="0"/>
              <w:contextualSpacing/>
              <w:rPr>
                <w:rFonts w:ascii="Times New Roman" w:hAnsi="Times New Roman" w:eastAsia="Calibri"/>
                <w:i/>
                <w:i/>
                <w:sz w:val="22"/>
                <w:szCs w:val="22"/>
              </w:rPr>
            </w:pPr>
            <w:r>
              <w:rPr>
                <w:rFonts w:eastAsia="Calibri" w:ascii="Times New Roman" w:hAnsi="Times New Roman"/>
                <w:i/>
                <w:sz w:val="22"/>
                <w:szCs w:val="22"/>
              </w:rPr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exact" w:line="360" w:before="120" w:after="0"/>
              <w:contextualSpacing/>
              <w:rPr>
                <w:rFonts w:ascii="Times New Roman" w:hAnsi="Times New Roman" w:eastAsia="Calibri"/>
                <w:i/>
                <w:i/>
                <w:sz w:val="22"/>
                <w:szCs w:val="22"/>
              </w:rPr>
            </w:pPr>
            <w:r>
              <w:rPr>
                <w:rFonts w:eastAsia="Calibri" w:ascii="Times New Roman" w:hAnsi="Times New Roman"/>
                <w:i/>
                <w:sz w:val="22"/>
                <w:szCs w:val="22"/>
              </w:rPr>
              <w:t>ТКП №2</w:t>
            </w:r>
          </w:p>
          <w:p>
            <w:pPr>
              <w:pStyle w:val="Normal"/>
              <w:widowControl w:val="false"/>
              <w:spacing w:lineRule="exact" w:line="360" w:before="120" w:after="0"/>
              <w:contextualSpacing/>
              <w:rPr>
                <w:rFonts w:ascii="Times New Roman" w:hAnsi="Times New Roman" w:eastAsia="Calibri"/>
                <w:i/>
                <w:i/>
                <w:sz w:val="22"/>
                <w:szCs w:val="22"/>
              </w:rPr>
            </w:pPr>
            <w:r>
              <w:rPr>
                <w:rFonts w:eastAsia="Calibri" w:ascii="Times New Roman" w:hAnsi="Times New Roman"/>
                <w:i/>
                <w:sz w:val="22"/>
                <w:szCs w:val="22"/>
              </w:rPr>
            </w:r>
          </w:p>
        </w:tc>
        <w:tc>
          <w:tcPr>
            <w:tcW w:w="1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 w:eastAsia="Calibri"/>
                <w:i/>
                <w:i/>
                <w:sz w:val="22"/>
                <w:szCs w:val="22"/>
                <w:lang w:val="en-US"/>
              </w:rPr>
            </w:pPr>
            <w:r>
              <w:rPr>
                <w:rFonts w:eastAsia="Calibri" w:ascii="Times New Roman" w:hAnsi="Times New Roman"/>
                <w:i/>
                <w:sz w:val="22"/>
                <w:szCs w:val="22"/>
                <w:lang w:val="en-US"/>
              </w:rPr>
              <w:t>1 011 993</w:t>
            </w:r>
          </w:p>
        </w:tc>
        <w:tc>
          <w:tcPr>
            <w:tcW w:w="181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 w:eastAsia="Times New Roman"/>
                <w:i/>
                <w:i/>
                <w:sz w:val="20"/>
                <w:shd w:fill="FFFF99" w:val="clear"/>
                <w:lang w:eastAsia="ru-RU"/>
              </w:rPr>
            </w:pPr>
            <w:r>
              <w:rPr>
                <w:rFonts w:eastAsia="Times New Roman" w:ascii="Times New Roman" w:hAnsi="Times New Roman"/>
                <w:i/>
                <w:sz w:val="20"/>
                <w:shd w:fill="FFFF99" w:val="clear"/>
                <w:lang w:eastAsia="ru-RU"/>
              </w:rPr>
            </w:r>
          </w:p>
        </w:tc>
        <w:tc>
          <w:tcPr>
            <w:tcW w:w="2040" w:type="dxa"/>
            <w:vMerge w:val="continue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 w:eastAsia="Times New Roman"/>
                <w:i/>
                <w:i/>
                <w:sz w:val="20"/>
                <w:shd w:fill="FFFF99" w:val="clear"/>
                <w:lang w:eastAsia="ru-RU"/>
              </w:rPr>
            </w:pPr>
            <w:r>
              <w:rPr>
                <w:rFonts w:eastAsia="Times New Roman" w:ascii="Times New Roman" w:hAnsi="Times New Roman"/>
                <w:i/>
                <w:sz w:val="20"/>
                <w:shd w:fill="FFFF99" w:val="clear"/>
                <w:lang w:eastAsia="ru-RU"/>
              </w:rPr>
            </w:r>
          </w:p>
        </w:tc>
      </w:tr>
      <w:tr>
        <w:trPr>
          <w:trHeight w:val="70" w:hRule="atLeast"/>
        </w:trPr>
        <w:tc>
          <w:tcPr>
            <w:tcW w:w="286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exact" w:line="360" w:before="120" w:after="0"/>
              <w:contextualSpacing/>
              <w:rPr>
                <w:rFonts w:ascii="Times New Roman" w:hAnsi="Times New Roman" w:eastAsia="Calibri"/>
                <w:i/>
                <w:i/>
                <w:sz w:val="22"/>
                <w:szCs w:val="22"/>
              </w:rPr>
            </w:pPr>
            <w:r>
              <w:rPr>
                <w:rFonts w:eastAsia="Calibri" w:ascii="Times New Roman" w:hAnsi="Times New Roman"/>
                <w:i/>
                <w:sz w:val="22"/>
                <w:szCs w:val="22"/>
              </w:rPr>
            </w:r>
          </w:p>
        </w:tc>
        <w:tc>
          <w:tcPr>
            <w:tcW w:w="16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exact" w:line="360" w:before="120" w:after="0"/>
              <w:contextualSpacing/>
              <w:rPr>
                <w:rFonts w:ascii="Times New Roman" w:hAnsi="Times New Roman"/>
                <w:i/>
                <w:i/>
                <w:iCs/>
              </w:rPr>
            </w:pPr>
            <w:r>
              <w:rPr>
                <w:rFonts w:ascii="Times New Roman" w:hAnsi="Times New Roman"/>
                <w:i/>
                <w:iCs/>
              </w:rPr>
            </w:r>
          </w:p>
          <w:p>
            <w:pPr>
              <w:pStyle w:val="Normal"/>
              <w:widowControl w:val="false"/>
              <w:spacing w:lineRule="exact" w:line="360" w:before="120" w:after="0"/>
              <w:contextualSpacing/>
              <w:rPr>
                <w:rFonts w:ascii="Times New Roman" w:hAnsi="Times New Roman"/>
                <w:i/>
                <w:i/>
                <w:iCs/>
              </w:rPr>
            </w:pPr>
            <w:r>
              <w:rPr>
                <w:rFonts w:ascii="Times New Roman" w:hAnsi="Times New Roman"/>
                <w:i/>
                <w:iCs/>
              </w:rPr>
              <w:t>ТКП №3</w:t>
            </w:r>
          </w:p>
        </w:tc>
        <w:tc>
          <w:tcPr>
            <w:tcW w:w="18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 w:eastAsia="Calibri"/>
                <w:i/>
                <w:i/>
                <w:sz w:val="22"/>
                <w:szCs w:val="22"/>
                <w:lang w:val="en-US"/>
              </w:rPr>
            </w:pPr>
            <w:r>
              <w:rPr>
                <w:rFonts w:eastAsia="Calibri" w:ascii="Times New Roman" w:hAnsi="Times New Roman"/>
                <w:i/>
                <w:sz w:val="22"/>
                <w:szCs w:val="22"/>
                <w:lang w:val="en-US"/>
              </w:rPr>
            </w:r>
          </w:p>
          <w:p>
            <w:pPr>
              <w:pStyle w:val="Normal"/>
              <w:widowControl w:val="false"/>
              <w:spacing w:before="60" w:after="60"/>
              <w:rPr>
                <w:rFonts w:ascii="Times New Roman" w:hAnsi="Times New Roman" w:eastAsia="Calibri"/>
                <w:i/>
                <w:i/>
                <w:sz w:val="22"/>
                <w:szCs w:val="22"/>
                <w:lang w:val="en-US"/>
              </w:rPr>
            </w:pPr>
            <w:r>
              <w:rPr>
                <w:rFonts w:eastAsia="Calibri" w:ascii="Times New Roman" w:hAnsi="Times New Roman"/>
                <w:i/>
                <w:sz w:val="22"/>
                <w:szCs w:val="22"/>
                <w:lang w:val="en-US"/>
              </w:rPr>
              <w:t>879 992, 7</w:t>
            </w:r>
          </w:p>
        </w:tc>
        <w:tc>
          <w:tcPr>
            <w:tcW w:w="181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 w:eastAsia="Times New Roman"/>
                <w:i/>
                <w:i/>
                <w:sz w:val="20"/>
                <w:shd w:fill="FFFF99" w:val="clear"/>
                <w:lang w:eastAsia="ru-RU"/>
              </w:rPr>
            </w:pPr>
            <w:r>
              <w:rPr>
                <w:rFonts w:eastAsia="Times New Roman" w:ascii="Times New Roman" w:hAnsi="Times New Roman"/>
                <w:i/>
                <w:sz w:val="20"/>
                <w:shd w:fill="FFFF99" w:val="clear"/>
                <w:lang w:eastAsia="ru-RU"/>
              </w:rPr>
            </w:r>
          </w:p>
        </w:tc>
        <w:tc>
          <w:tcPr>
            <w:tcW w:w="2040" w:type="dxa"/>
            <w:vMerge w:val="continue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 w:eastAsia="Times New Roman"/>
                <w:i/>
                <w:i/>
                <w:sz w:val="20"/>
                <w:shd w:fill="FFFF99" w:val="clear"/>
                <w:lang w:eastAsia="ru-RU"/>
              </w:rPr>
            </w:pPr>
            <w:r>
              <w:rPr>
                <w:rFonts w:eastAsia="Times New Roman" w:ascii="Times New Roman" w:hAnsi="Times New Roman"/>
                <w:i/>
                <w:sz w:val="20"/>
                <w:shd w:fill="FFFF99" w:val="clear"/>
                <w:lang w:eastAsia="ru-RU"/>
              </w:rPr>
            </w:r>
          </w:p>
        </w:tc>
      </w:tr>
    </w:tbl>
    <w:p>
      <w:pPr>
        <w:pStyle w:val="Normal"/>
        <w:jc w:val="both"/>
        <w:rPr/>
      </w:pPr>
      <w:r>
        <w:rPr>
          <w:rFonts w:ascii="Times New Roman" w:hAnsi="Times New Roman"/>
          <w:sz w:val="26"/>
          <w:szCs w:val="26"/>
        </w:rPr>
        <w:t>Для проведения мониторинга был использован функционал электронной торговой площадки АО «РАД» (</w:t>
      </w:r>
      <w:hyperlink r:id="rId2">
        <w:r>
          <w:rPr>
            <w:rStyle w:val="Hyperlink"/>
            <w:rFonts w:ascii="Times New Roman" w:hAnsi="Times New Roman"/>
            <w:color w:val="auto"/>
            <w:sz w:val="26"/>
            <w:szCs w:val="26"/>
          </w:rPr>
          <w:t>https://tender.lot-online.ru</w:t>
        </w:r>
      </w:hyperlink>
      <w:r>
        <w:rPr>
          <w:rFonts w:ascii="Times New Roman" w:hAnsi="Times New Roman"/>
          <w:sz w:val="26"/>
          <w:szCs w:val="26"/>
        </w:rPr>
        <w:t>), номер процедуры RAD2</w:t>
      </w:r>
      <w:r>
        <w:rPr>
          <w:rFonts w:ascii="Times New Roman" w:hAnsi="Times New Roman"/>
          <w:sz w:val="26"/>
          <w:szCs w:val="26"/>
        </w:rPr>
        <w:t>60021438</w:t>
      </w:r>
      <w:r>
        <w:rPr>
          <w:rFonts w:ascii="Times New Roman" w:hAnsi="Times New Roman"/>
          <w:sz w:val="26"/>
          <w:szCs w:val="26"/>
        </w:rPr>
        <w:t xml:space="preserve">. </w:t>
      </w:r>
      <w:r>
        <w:rPr>
          <w:rFonts w:ascii="Times New Roman" w:hAnsi="Times New Roman"/>
          <w:sz w:val="26"/>
          <w:szCs w:val="26"/>
        </w:rPr>
        <w:t>Дополнительно н</w:t>
      </w:r>
      <w:r>
        <w:rPr>
          <w:rFonts w:ascii="Times New Roman" w:hAnsi="Times New Roman"/>
          <w:sz w:val="26"/>
          <w:szCs w:val="26"/>
        </w:rPr>
        <w:t xml:space="preserve">аправлялись адресные запросы. По итогам полученных ТКП сформировалась итоговая цена по </w:t>
      </w:r>
      <w:r>
        <w:rPr>
          <w:rFonts w:ascii="Times New Roman" w:hAnsi="Times New Roman"/>
          <w:sz w:val="26"/>
          <w:szCs w:val="26"/>
        </w:rPr>
        <w:t>лоту</w:t>
      </w:r>
      <w:r>
        <w:rPr>
          <w:rFonts w:ascii="Times New Roman" w:hAnsi="Times New Roman"/>
          <w:sz w:val="26"/>
          <w:szCs w:val="26"/>
        </w:rPr>
        <w:t>.</w:t>
      </w:r>
    </w:p>
    <w:p>
      <w:pPr>
        <w:pStyle w:val="Normal"/>
        <w:tabs>
          <w:tab w:val="clear" w:pos="708"/>
          <w:tab w:val="left" w:pos="709" w:leader="none"/>
        </w:tabs>
        <w:ind w:firstLine="567"/>
        <w:jc w:val="both"/>
        <w:rPr>
          <w:rFonts w:ascii="Times New Roman" w:hAnsi="Times New Roman" w:eastAsia="Times New Roman"/>
          <w:sz w:val="26"/>
          <w:szCs w:val="26"/>
          <w:lang w:eastAsia="ru-RU"/>
        </w:rPr>
      </w:pPr>
      <w:r>
        <w:rPr>
          <w:rFonts w:eastAsia="Times New Roman" w:ascii="Times New Roman" w:hAnsi="Times New Roman"/>
          <w:sz w:val="26"/>
          <w:szCs w:val="26"/>
          <w:lang w:eastAsia="ru-RU"/>
        </w:rPr>
      </w:r>
    </w:p>
    <w:sectPr>
      <w:headerReference w:type="even" r:id="rId3"/>
      <w:headerReference w:type="default" r:id="rId4"/>
      <w:footnotePr>
        <w:numFmt w:val="decimal"/>
      </w:footnotePr>
      <w:type w:val="nextPage"/>
      <w:pgSz w:w="11906" w:h="16838"/>
      <w:pgMar w:left="1701" w:right="709" w:gutter="0" w:header="964" w:top="1021" w:footer="0" w:bottom="1134"/>
      <w:pgNumType w:fmt="decimal"/>
      <w:formProt w:val="false"/>
      <w:titlePg/>
      <w:textDirection w:val="lrTb"/>
      <w:docGrid w:type="default" w:linePitch="326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mbria">
    <w:charset w:val="01"/>
    <w:family w:val="roman"/>
    <w:pitch w:val="variable"/>
  </w:font>
  <w:font w:name="Geneva CY">
    <w:charset w:val="01"/>
    <w:family w:val="roman"/>
    <w:pitch w:val="variable"/>
  </w:font>
  <w:font w:name="Lucida Grande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Times New Roman">
    <w:charset w:val="01"/>
    <w:family w:val="roman"/>
    <w:pitch w:val="variable"/>
  </w:font>
</w:fonts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footnote w:id="0" w:type="separator">
    <w:p>
      <w:pPr>
        <w:rPr>
          <w:sz w:val="12"/>
        </w:rPr>
      </w:pPr>
      <w:r>
        <w:separator/>
      </w:r>
    </w:p>
  </w:footnote>
  <w:footnote w:id="1" w:type="continuationSeparator">
    <w:p>
      <w:pPr>
        <w:rPr>
          <w:sz w:val="12"/>
        </w:rPr>
      </w:pPr>
      <w:r>
        <w:continuationSeparator/>
      </w:r>
    </w:p>
  </w:footnote>
  <w:footnote w:id="2">
    <w:p>
      <w:pPr>
        <w:pStyle w:val="FootnoteText"/>
        <w:widowControl w:val="false"/>
        <w:rPr>
          <w:rFonts w:ascii="Times New Roman" w:hAnsi="Times New Roman"/>
        </w:rPr>
      </w:pPr>
      <w:r>
        <w:rPr>
          <w:rStyle w:val="Style13"/>
        </w:rPr>
        <w:footnoteRef/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С учетом количества поставляемой продукции в соответствии с Техническими требованиями</w:t>
      </w:r>
    </w:p>
  </w:footnote>
</w:footnote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2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Header"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t>0</w: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1" path="m0,0l-2147483645,0l-2147483645,-2147483646l0,-2147483646xe" stroked="f" o:allowincell="f" style="position:absolute;margin-left:0pt;margin-top:0.05pt;width:1.1pt;height:1.1pt;mso-wrap-style:square;v-text-anchor:top;mso-position-horizontal:center;mso-position-horizontal-relative:margin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Header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  <w:color w:val="000000"/>
                      </w:rPr>
                      <w:fldChar w:fldCharType="begin"/>
                    </w:r>
                    <w:r>
                      <w:rPr>
                        <w:rStyle w:val="Pagenumber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Pagenumber"/>
                        <w:color w:val="000000"/>
                      </w:rPr>
                      <w:fldChar w:fldCharType="separate"/>
                    </w:r>
                    <w:r>
                      <w:rPr>
                        <w:rStyle w:val="Pagenumber"/>
                        <w:color w:val="000000"/>
                      </w:rPr>
                      <w:t>0</w:t>
                    </w:r>
                    <w:r>
                      <w:rPr>
                        <w:rStyle w:val="Pagenumber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Top of Page)"/>
        <w:docPartUnique w:val="true"/>
      </w:docPartObj>
      <w:id w:val="1998192040"/>
    </w:sdtPr>
    <w:sdtContent>
      <w:p>
        <w:pPr>
          <w:pStyle w:val="Header"/>
          <w:widowControl/>
          <w:suppressAutoHyphens w:val="true"/>
          <w:bidi w:val="0"/>
          <w:spacing w:before="0" w:after="0"/>
          <w:jc w:val="left"/>
          <w:rPr>
            <w:rFonts w:ascii="Times New Roman" w:hAnsi="Times New Roman"/>
          </w:rPr>
        </w:pPr>
        <w:r>
          <w:rPr>
            <w:rFonts w:ascii="Times New Roman" w:hAnsi="Times New Roman"/>
          </w:rPr>
        </w:r>
      </w:p>
    </w:sdtContent>
  </w:sdt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footnotePr>
    <w:numFmt w:val="decimal"/>
    <w:footnote w:id="0"/>
    <w:footnote w:id="1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umentProtection w:edit="comments" w:cryptProviderType="rsaAES" w:cryptAlgorithmClass="hash" w:cryptAlgorithmType="typeAny" w:cryptAlgorithmSid="" w:cryptSpinCount="0" w:hash="" w:salt=""/>
  <w:themeFontLang w:val="en-US" w:eastAsia="ja-JP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mbria" w:hAnsi="Cambria" w:eastAsia="MS Mincho" w:cs="Times New Roman"/>
        <w:lang w:val="en-US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d002ca"/>
    <w:pPr>
      <w:widowControl/>
      <w:suppressAutoHyphens w:val="true"/>
      <w:bidi w:val="0"/>
      <w:spacing w:before="0" w:after="0"/>
      <w:jc w:val="left"/>
    </w:pPr>
    <w:rPr>
      <w:rFonts w:ascii="Geneva CY" w:hAnsi="Geneva CY" w:eastAsia="Geneva" w:cs="Times New Roman"/>
      <w:color w:val="auto"/>
      <w:kern w:val="0"/>
      <w:sz w:val="24"/>
      <w:szCs w:val="20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9" w:customStyle="1">
    <w:name w:val="Верхний колонтитул Знак"/>
    <w:uiPriority w:val="99"/>
    <w:qFormat/>
    <w:rsid w:val="00d002ca"/>
    <w:rPr>
      <w:rFonts w:ascii="Geneva CY" w:hAnsi="Geneva CY" w:eastAsia="Geneva" w:cs="Times New Roman"/>
      <w:szCs w:val="20"/>
      <w:lang w:val="ru-RU" w:eastAsia="en-US"/>
    </w:rPr>
  </w:style>
  <w:style w:type="character" w:styleId="Pagenumber">
    <w:name w:val="page number"/>
    <w:basedOn w:val="DefaultParagraphFont"/>
    <w:qFormat/>
    <w:rsid w:val="00d002ca"/>
    <w:rPr/>
  </w:style>
  <w:style w:type="character" w:styleId="Style10" w:customStyle="1">
    <w:name w:val="Текст выноски Знак"/>
    <w:link w:val="BalloonText"/>
    <w:uiPriority w:val="99"/>
    <w:semiHidden/>
    <w:qFormat/>
    <w:rsid w:val="00d002ca"/>
    <w:rPr>
      <w:rFonts w:ascii="Lucida Grande" w:hAnsi="Lucida Grande" w:eastAsia="Geneva" w:cs="Times New Roman"/>
      <w:sz w:val="18"/>
      <w:szCs w:val="18"/>
      <w:lang w:val="ru-RU" w:eastAsia="en-US"/>
    </w:rPr>
  </w:style>
  <w:style w:type="character" w:styleId="Hyperlink">
    <w:name w:val="Hyperlink"/>
    <w:basedOn w:val="DefaultParagraphFont"/>
    <w:uiPriority w:val="99"/>
    <w:unhideWhenUsed/>
    <w:rsid w:val="0017740a"/>
    <w:rPr>
      <w:color w:val="0000FF" w:themeColor="hyperlink"/>
      <w:u w:val="single"/>
    </w:rPr>
  </w:style>
  <w:style w:type="character" w:styleId="Style11" w:customStyle="1">
    <w:name w:val="Нижний колонтитул Знак"/>
    <w:basedOn w:val="DefaultParagraphFont"/>
    <w:uiPriority w:val="99"/>
    <w:qFormat/>
    <w:rsid w:val="00206a95"/>
    <w:rPr>
      <w:rFonts w:ascii="Geneva CY" w:hAnsi="Geneva CY" w:eastAsia="Geneva"/>
      <w:sz w:val="24"/>
      <w:lang w:val="ru-RU" w:eastAsia="en-US"/>
    </w:rPr>
  </w:style>
  <w:style w:type="character" w:styleId="Style12" w:customStyle="1">
    <w:name w:val="Текст сноски Знак"/>
    <w:basedOn w:val="DefaultParagraphFont"/>
    <w:uiPriority w:val="99"/>
    <w:qFormat/>
    <w:rsid w:val="005f30b7"/>
    <w:rPr>
      <w:rFonts w:ascii="Geneva CY" w:hAnsi="Geneva CY" w:eastAsia="Geneva"/>
      <w:lang w:val="ru-RU" w:eastAsia="en-US"/>
    </w:rPr>
  </w:style>
  <w:style w:type="character" w:styleId="Style13" w:customStyle="1">
    <w:name w:val="Символ сноски"/>
    <w:uiPriority w:val="99"/>
    <w:unhideWhenUsed/>
    <w:qFormat/>
    <w:rsid w:val="005f30b7"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Style14" w:customStyle="1">
    <w:name w:val="Символ концевой сноски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LineNumber">
    <w:name w:val="Line Number"/>
    <w:rPr/>
  </w:style>
  <w:style w:type="paragraph" w:styleId="Style15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Arial Unicode M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 Unicode M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Style16">
    <w:name w:val="Указатель"/>
    <w:basedOn w:val="Normal"/>
    <w:qFormat/>
    <w:pPr>
      <w:suppressLineNumbers/>
    </w:pPr>
    <w:rPr>
      <w:rFonts w:cs="Arial Unicode MS"/>
    </w:rPr>
  </w:style>
  <w:style w:type="paragraph" w:styleId="Title">
    <w:name w:val="Title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Arial Unicode MS"/>
      <w:sz w:val="28"/>
      <w:szCs w:val="28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rFonts w:cs="Arial Unicode MS"/>
      <w:i/>
      <w:iCs/>
      <w:szCs w:val="24"/>
    </w:rPr>
  </w:style>
  <w:style w:type="paragraph" w:styleId="Indexheading">
    <w:name w:val="index heading"/>
    <w:basedOn w:val="Normal"/>
    <w:qFormat/>
    <w:pPr>
      <w:suppressLineNumbers/>
    </w:pPr>
    <w:rPr>
      <w:rFonts w:cs="Arial Unicode MS"/>
    </w:rPr>
  </w:style>
  <w:style w:type="paragraph" w:styleId="Style17" w:customStyle="1">
    <w:name w:val="Колонтитул"/>
    <w:basedOn w:val="Normal"/>
    <w:qFormat/>
    <w:pPr/>
    <w:rPr/>
  </w:style>
  <w:style w:type="paragraph" w:styleId="Header">
    <w:name w:val="Header"/>
    <w:basedOn w:val="Normal"/>
    <w:link w:val="Style9"/>
    <w:uiPriority w:val="99"/>
    <w:rsid w:val="00d002ca"/>
    <w:pPr>
      <w:tabs>
        <w:tab w:val="clear" w:pos="708"/>
        <w:tab w:val="center" w:pos="4320" w:leader="none"/>
        <w:tab w:val="right" w:pos="8640" w:leader="none"/>
      </w:tabs>
    </w:pPr>
    <w:rPr/>
  </w:style>
  <w:style w:type="paragraph" w:styleId="BalloonText">
    <w:name w:val="Balloon Text"/>
    <w:basedOn w:val="Normal"/>
    <w:link w:val="Style10"/>
    <w:uiPriority w:val="99"/>
    <w:semiHidden/>
    <w:unhideWhenUsed/>
    <w:qFormat/>
    <w:rsid w:val="00d002ca"/>
    <w:pPr/>
    <w:rPr>
      <w:rFonts w:ascii="Lucida Grande" w:hAnsi="Lucida Grande"/>
      <w:sz w:val="18"/>
      <w:szCs w:val="18"/>
    </w:rPr>
  </w:style>
  <w:style w:type="paragraph" w:styleId="ListParagraph">
    <w:name w:val="List Paragraph"/>
    <w:basedOn w:val="Normal"/>
    <w:uiPriority w:val="34"/>
    <w:qFormat/>
    <w:rsid w:val="00206a95"/>
    <w:pPr>
      <w:spacing w:before="0" w:after="0"/>
      <w:ind w:left="720" w:hanging="0"/>
      <w:contextualSpacing/>
    </w:pPr>
    <w:rPr/>
  </w:style>
  <w:style w:type="paragraph" w:styleId="Footer">
    <w:name w:val="Footer"/>
    <w:basedOn w:val="Normal"/>
    <w:link w:val="Style11"/>
    <w:uiPriority w:val="99"/>
    <w:unhideWhenUsed/>
    <w:rsid w:val="00206a95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FootnoteText">
    <w:name w:val="Footnote Text"/>
    <w:basedOn w:val="Normal"/>
    <w:link w:val="Style12"/>
    <w:uiPriority w:val="99"/>
    <w:unhideWhenUsed/>
    <w:qFormat/>
    <w:rsid w:val="005f30b7"/>
    <w:pPr/>
    <w:rPr>
      <w:sz w:val="20"/>
    </w:rPr>
  </w:style>
  <w:style w:type="paragraph" w:styleId="NormalWeb">
    <w:name w:val="Normal (Web)"/>
    <w:basedOn w:val="Normal"/>
    <w:uiPriority w:val="99"/>
    <w:unhideWhenUsed/>
    <w:qFormat/>
    <w:rsid w:val="00336344"/>
    <w:pPr>
      <w:spacing w:beforeAutospacing="1" w:afterAutospacing="1"/>
    </w:pPr>
    <w:rPr>
      <w:rFonts w:ascii="Times New Roman" w:hAnsi="Times New Roman" w:eastAsia="Times New Roman"/>
      <w:szCs w:val="24"/>
      <w:lang w:eastAsia="ru-RU"/>
    </w:rPr>
  </w:style>
  <w:style w:type="paragraph" w:styleId="Style18" w:customStyle="1">
    <w:name w:val="Содержимое врезки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uiPriority w:val="59"/>
    <w:rsid w:val="00c13822"/>
    <w:pPr>
      <w:jc w:val="both"/>
    </w:pPr>
    <w:rPr>
      <w:lang w:val="ru-RU" w:eastAsia="en-US"/>
      <w:sz w:val="26"/>
      <w:szCs w:val="26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afa">
    <w:name w:val="Table Grid"/>
    <w:basedOn w:val="a1"/>
    <w:uiPriority w:val="59"/>
    <w:rsid w:val="00c13822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">
    <w:name w:val="Сетка таблицы2"/>
    <w:basedOn w:val="a1"/>
    <w:uiPriority w:val="39"/>
    <w:rsid w:val="00bb06c8"/>
    <w:rPr>
      <w:lang w:val="ru-RU" w:eastAsia="en-US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tender.lot-online.ru/" TargetMode="External"/><Relationship Id="rId3" Type="http://schemas.openxmlformats.org/officeDocument/2006/relationships/header" Target="header1.xml"/><Relationship Id="rId4" Type="http://schemas.openxmlformats.org/officeDocument/2006/relationships/header" Target="header2.xml"/><Relationship Id="rId5" Type="http://schemas.openxmlformats.org/officeDocument/2006/relationships/footnotes" Target="footnotes.xml"/><Relationship Id="rId6" Type="http://schemas.openxmlformats.org/officeDocument/2006/relationships/numbering" Target="numbering.xml"/><Relationship Id="rId7" Type="http://schemas.openxmlformats.org/officeDocument/2006/relationships/fontTable" Target="fontTable.xml"/><Relationship Id="rId8" Type="http://schemas.openxmlformats.org/officeDocument/2006/relationships/settings" Target="settings.xml"/><Relationship Id="rId9" Type="http://schemas.openxmlformats.org/officeDocument/2006/relationships/theme" Target="theme/theme1.xml"/><Relationship Id="rId10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297C5A-6EDD-43AC-B44E-1B6A471E8A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Application>AlterOffice/3.4.0.9$Linux_X86_64 LibreOffice_project/b8daf9e823b1a5463a2f48435ddc2e8696e7d4fc</Application>
  <AppVersion>15.0000</AppVersion>
  <Pages>1</Pages>
  <Words>178</Words>
  <Characters>1187</Characters>
  <CharactersWithSpaces>1332</CharactersWithSpaces>
  <Paragraphs>33</Paragraphs>
  <Company>РусГидро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2026-03-02T10:38:00Z</dcterms:created>
  <dc:creator>Andrey Zhurin</dc:creator>
  <dc:description/>
  <dc:language>ru-RU</dc:language>
  <cp:lastModifiedBy>shvalyukee@corp.gidroogk.com</cp:lastModifiedBy>
  <cp:lastPrinted>2021-07-02T09:19:00Z</cp:lastPrinted>
  <dcterms:modified xsi:type="dcterms:W3CDTF">2026-05-19T08:26:53Z</dcterms:modified>
  <cp:revision>15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